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08b1b9b0004ab1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36428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GUNJA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397.144,54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609.487,45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153,5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240.882,69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336.721,30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156.261,85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272.766,15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174,6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1.393,29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175,57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124.121,58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18.345,60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122.728,29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18.170,03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164.650,00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164.650,00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33.533,56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89.946,12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268,2</w:t>
            </w:r>
          </w:p>
        </w:tc>
      </w:tr>
    </w:tbl>
    <w:p>
      <w:pPr>
        <w:spacing w:before="0" w:after="0"/>
      </w:pPr>
    </w:p>
    <w:p>
      <w:r>
        <w:t xml:space="preserve">U prvom kvartalu 2026. godine u Općini Gunja realizirani su najprije rashodi vezani uz redovito poslovanje Općine te se radilo na dovršetku projekata koji su započeti u 2025. godini kao što je dovršetak radova na izgradnji Dječjeg vrtića i povrat skoro cjelokupnog iznosa kratkoročnog kredita odobrenog u svrhu dovršetka istog. Obzirom da je početak godine period kada se tek raspisuju Javni pozivi i Natječaji za sufinanciranja i dodjele sredstava, u narednom izvještajnom periodu očekujemo realizaciju više projekata za koja su planirana određena sredstva i u samom Planu proračuna naše Općine za 2026. godinu. </w:t>
      </w:r>
    </w:p>
    <w:p>
      <w:r>
        <w:t xml:space="preserve">S početkom 2026. godine Općina Gunja je ušla u sustav pune riznice gdje ima jednog proačunskog korisnika Narodnu knjižnicu i čitaonicu Gunja, koji ima jednog zaposlenog djelatnika odnosno vršioca dužnosti ravnatelja. 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poreza (šifre 611+612+613+614+615+616)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102.258,98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133.096,12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130,2</w:t>
            </w:r>
          </w:p>
        </w:tc>
      </w:tr>
    </w:tbl>
    <w:p>
      <w:pPr>
        <w:spacing w:before="0" w:after="0"/>
      </w:pPr>
    </w:p>
    <w:p>
      <w:r>
        <w:t xml:space="preserve">Porez na dohodak od nesamostalnog rada porastao je za 22,70% što je posljedica porasta minimalne plaće, ali i općenitog rasta plaća mještana.</w:t>
      </w:r>
    </w:p>
    <w:p>
      <w:r>
        <w:t xml:space="preserve">Također, porastao je i porez na dohodak od samostalnih djelatnosti jer su prihodi veći zbog porasta cijena usluga i proizvoda koje obrtnici i samostalne djelatnosti nude pa je s tim došlo i do rasta ove vrste prihoda od poreza. </w:t>
      </w:r>
    </w:p>
    <w:p>
      <w:r>
        <w:t xml:space="preserve">Porez na dohodak od imovine i imovinskih prava je značajno porastao i to za čak 192,70% uslijed rasta cijena najamnina te učinkovitijeg nadzora i naplate istog a ujedno i većeg broja registriranih najmodavaca.</w:t>
      </w:r>
    </w:p>
    <w:p>
      <w:r>
        <w:t xml:space="preserve">Iz sličnih razloga je došlo i do rasta prihoda od Poreza na dohodak po godišnjoj prijavi od čak 116,30%.</w:t>
      </w:r>
    </w:p>
    <w:p>
      <w:r>
        <w:t xml:space="preserve">Stalni porezi na nepokretnu imovinu su porasli za 1089,50% isključivo jer je u uveden porez na nekretnine te su se ažurirale evidencije nekretnina, povećao broj oporezivih objekata te se učinkovitnije radilo na naplati. </w:t>
      </w:r>
    </w:p>
    <w:p>
      <w:r>
        <w:t xml:space="preserve">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21.573,75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43.857,38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203,3</w:t>
            </w:r>
          </w:p>
        </w:tc>
      </w:tr>
    </w:tbl>
    <w:p>
      <w:pPr>
        <w:spacing w:before="0" w:after="0"/>
      </w:pPr>
    </w:p>
    <w:p>
      <w:r>
        <w:t xml:space="preserve">Tekuće pomoći proračunu i izvanproračunskim korisnicima iz drugih proračuna se odnose na prihod od koga se financira plaća djelatnicima i rashodi u programu Pomoć u kući, prihod je veći jer je zaposlena još jedna djelatnica, no i samim porastom minimalne plaće došlo je do potrebe za većim sredstvima.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financijske imovine (šifre 6412 do 6419)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199,1</w:t>
            </w:r>
          </w:p>
        </w:tc>
      </w:tr>
    </w:tbl>
    <w:p>
      <w:pPr>
        <w:spacing w:before="0" w:after="0"/>
      </w:pPr>
    </w:p>
    <w:p>
      <w:r>
        <w:t xml:space="preserve">Prihodi su veći jer je naplaćen trošak ovrhe za Komunalnu naknadu i Naknadu za uređenje voda.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 posebnim propisima (šifre 6521 do 6528)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460,36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168.919,51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Prihodi po posebnim propisima porasli su iznimno, rast se odnosi isključivo na prihode od Šumskog doprinosa jer je u zadnjem kvartalu 2025. godine značajno povećan obujam sječe i iskorištavanja šuma, navedeno je uprihodovano početkom 2026. godine te je evidnetna ogromna razlika u odnosu na ranije izvještajno razdoblje.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šume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166.305,36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U zadnjem kvartalu 2025. godine značajno povećan obujam sječe i iskorištavanja šuma, navedeno je uprihodovano početkom 2026. godine te je evidnetna ogromna razlika u odnosu na ranije izvještajno razdoblje kod Doprinosa za šume.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448,10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2.614,15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583,4</w:t>
            </w:r>
          </w:p>
        </w:tc>
      </w:tr>
    </w:tbl>
    <w:p>
      <w:pPr>
        <w:spacing w:before="0" w:after="0"/>
      </w:pPr>
    </w:p>
    <w:p>
      <w:r>
        <w:t xml:space="preserve">Ostali ne spomenuti prihodi odnose se na povrate neutrošenih sredstava od udruga kao i na povrate premija i naknade troškova.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51.103,25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77.725,04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152,1</w:t>
            </w:r>
          </w:p>
        </w:tc>
      </w:tr>
    </w:tbl>
    <w:p>
      <w:pPr>
        <w:spacing w:before="0" w:after="0"/>
      </w:pPr>
    </w:p>
    <w:p>
      <w:r>
        <w:t xml:space="preserve">Rashodi za zaposlene bilježe porast nakon što je s početkom godine povećana minimalna plaća a zaposlena je i još jedna djelatnica u programu Pomoć u kući te je isplaćena jubilarna nagrada za neprekidni staž djelatnici Jedinstvenog upravnog odjela.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100.072,21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133.332,37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133,2</w:t>
            </w:r>
          </w:p>
        </w:tc>
      </w:tr>
    </w:tbl>
    <w:p>
      <w:pPr>
        <w:spacing w:before="0" w:after="0"/>
      </w:pPr>
    </w:p>
    <w:p>
      <w:r>
        <w:t xml:space="preserve">Uslijed povećanja cijena energenata i materijala na tržištu, te općeg inflacijskog pritiska došlo je i do povećanja materijalnih rashoda.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392,05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1.560,78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398,1</w:t>
            </w:r>
          </w:p>
        </w:tc>
      </w:tr>
    </w:tbl>
    <w:p>
      <w:pPr>
        <w:spacing w:before="0" w:after="0"/>
      </w:pPr>
    </w:p>
    <w:p>
      <w:r>
        <w:t xml:space="preserve">Financijski rashodi bilježe povećanje jer je Općina Gunja koristila kratkoročni revolving kredit te su po njemu ostvarene i kamate.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Prijenosi proračunskim korisnicima iz nadležnog proračuna za financiranje redovne djelatnosti (šifre 3672 do 3674)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9.571,86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6.722,43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70,2</w:t>
            </w:r>
          </w:p>
        </w:tc>
      </w:tr>
    </w:tbl>
    <w:p>
      <w:pPr>
        <w:spacing w:before="0" w:after="0"/>
      </w:pPr>
    </w:p>
    <w:p>
      <w:r>
        <w:t xml:space="preserve">Prijenos proračunskom korisniku je ostvaren u  manjem obimu i to samo za troškove plaće zaposlenih obzirom da je uveden sustav potpune riznice te se još uvijek radi na implementaciji istog.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u novcu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52.591,71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91.949,56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174,8</w:t>
            </w:r>
          </w:p>
        </w:tc>
      </w:tr>
    </w:tbl>
    <w:p>
      <w:pPr>
        <w:spacing w:before="0" w:after="0"/>
      </w:pPr>
    </w:p>
    <w:p>
      <w:r>
        <w:t xml:space="preserve">Tekuće donacije u novcu su veće u odnsou na ranije izvještajno razdoblje jer su sredstva po ugovorima o financiranju udruga ispalćena u prvom kvartalu tekuće godine dok je praksa ranijih godina bila da ste ista isplaćuju nakon 01. travnja.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29.747,91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izvještajnog razdoblja se odnosi na par računa dobavljača za koje se čeka dovršetak usluge te će biti izmireni odmah nakon isporuke u slijedećem izvještajnom periodu, dok se veći dio odnosi na prekoračenje obveza za materijalne rashode i to sa prekoračenjem obveza preko 360 dana, gdje je riječ o sudskim sporovima u tijeku u predmetu Š. K. ZARKA DARDA.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U Općini Gunja se od 2024. godine provodi projekt u programu „Zaželi svaki dan potporu u svom domu“.  Program se uspješno nastavlja i u 2026. godini. Trenutno je zaposleno 13 žena a usluge administracije i računovodstva su povjerene Crvenom križu Županja. Za realizaciju i financiranje programa ostvarena je pomoć od međunarodnih organizacija te institucija i tijela EU kroz Europski socijalni fond plus.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20cfcca91e4c56" /></Relationships>
</file>